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ECC" w:rsidRPr="00F057BE" w:rsidRDefault="004A0412" w:rsidP="00422ECC">
      <w:pPr>
        <w:spacing w:after="100" w:line="360" w:lineRule="auto"/>
        <w:rPr>
          <w:rFonts w:asciiTheme="minorHAnsi" w:hAnsiTheme="minorHAnsi"/>
          <w:b/>
          <w:sz w:val="24"/>
        </w:rPr>
      </w:pPr>
      <w:r w:rsidRPr="00F057BE">
        <w:rPr>
          <w:rFonts w:asciiTheme="minorHAnsi" w:hAnsiTheme="minorHAnsi"/>
          <w:b/>
          <w:sz w:val="24"/>
        </w:rPr>
        <w:t>#1 Relief: Immediate action</w:t>
      </w:r>
      <w:r w:rsidR="00422ECC" w:rsidRPr="00F057BE">
        <w:rPr>
          <w:rFonts w:asciiTheme="minorHAnsi" w:hAnsiTheme="minorHAnsi"/>
          <w:b/>
          <w:sz w:val="24"/>
        </w:rPr>
        <w:t>s</w:t>
      </w:r>
      <w:r w:rsidRPr="00F057BE">
        <w:rPr>
          <w:rFonts w:asciiTheme="minorHAnsi" w:hAnsiTheme="minorHAnsi"/>
          <w:b/>
          <w:sz w:val="24"/>
        </w:rPr>
        <w:t xml:space="preserve"> taken to halt the deterioration of economy</w:t>
      </w:r>
      <w:r w:rsidR="00422ECC" w:rsidRPr="00F057BE">
        <w:rPr>
          <w:rFonts w:asciiTheme="minorHAnsi" w:hAnsiTheme="minorHAnsi"/>
          <w:b/>
          <w:sz w:val="24"/>
        </w:rPr>
        <w:t xml:space="preserve">. </w:t>
      </w:r>
    </w:p>
    <w:p w:rsidR="004A0412" w:rsidRPr="00F057BE" w:rsidRDefault="00422ECC" w:rsidP="00422ECC">
      <w:pPr>
        <w:spacing w:after="100" w:line="360" w:lineRule="auto"/>
        <w:rPr>
          <w:rFonts w:asciiTheme="minorHAnsi" w:hAnsiTheme="minorHAnsi"/>
          <w:b/>
          <w:sz w:val="24"/>
        </w:rPr>
      </w:pPr>
      <w:r w:rsidRPr="00F057BE">
        <w:rPr>
          <w:rFonts w:asciiTheme="minorHAnsi" w:hAnsiTheme="minorHAnsi"/>
          <w:b/>
          <w:sz w:val="24"/>
        </w:rPr>
        <w:t>Civilian Conservation Corps (CCC) - How did the CCC contribute to environmental preservation</w:t>
      </w:r>
      <w:r w:rsidR="00F057BE">
        <w:rPr>
          <w:rFonts w:asciiTheme="minorHAnsi" w:hAnsiTheme="minorHAnsi"/>
          <w:b/>
          <w:sz w:val="24"/>
        </w:rPr>
        <w:t>?</w:t>
      </w:r>
    </w:p>
    <w:p w:rsidR="004A0412" w:rsidRPr="00422ECC" w:rsidRDefault="00962277" w:rsidP="00422ECC">
      <w:pPr>
        <w:spacing w:line="360" w:lineRule="auto"/>
        <w:rPr>
          <w:rFonts w:asciiTheme="minorHAnsi" w:hAnsiTheme="minorHAnsi"/>
          <w:sz w:val="24"/>
        </w:rPr>
      </w:pPr>
      <w:r>
        <w:rPr>
          <w:rFonts w:asciiTheme="minorHAnsi" w:hAnsiTheme="minorHAnsi"/>
          <w:noProof/>
          <w:sz w:val="24"/>
        </w:rPr>
        <w:drawing>
          <wp:anchor distT="0" distB="0" distL="114300" distR="114300" simplePos="0" relativeHeight="251659264" behindDoc="0" locked="0" layoutInCell="1" allowOverlap="1">
            <wp:simplePos x="0" y="0"/>
            <wp:positionH relativeFrom="column">
              <wp:posOffset>3481070</wp:posOffset>
            </wp:positionH>
            <wp:positionV relativeFrom="paragraph">
              <wp:posOffset>257810</wp:posOffset>
            </wp:positionV>
            <wp:extent cx="4977765" cy="2926080"/>
            <wp:effectExtent l="25400" t="0" r="635" b="0"/>
            <wp:wrapSquare wrapText="bothSides"/>
            <wp:docPr id="4" name="Picture 4" descr=":::::::private:var:folders:8y:yd7whj192f561bjb1bbxj3m00000gn:T:com.skitch.skitch:DMD9AE0222A-BB26-4456-9A20-B73110248FE6:Olympic_NP__Historic_Resource_Study__Chapter_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var:folders:8y:yd7whj192f561bjb1bbxj3m00000gn:T:com.skitch.skitch:DMD9AE0222A-BB26-4456-9A20-B73110248FE6:Olympic_NP__Historic_Resource_Study__Chapter_5_.png"/>
                    <pic:cNvPicPr>
                      <a:picLocks noChangeAspect="1" noChangeArrowheads="1"/>
                    </pic:cNvPicPr>
                  </pic:nvPicPr>
                  <pic:blipFill>
                    <a:blip r:embed="rId6"/>
                    <a:srcRect/>
                    <a:stretch>
                      <a:fillRect/>
                    </a:stretch>
                  </pic:blipFill>
                  <pic:spPr bwMode="auto">
                    <a:xfrm>
                      <a:off x="0" y="0"/>
                      <a:ext cx="4977765" cy="2926080"/>
                    </a:xfrm>
                    <a:prstGeom prst="rect">
                      <a:avLst/>
                    </a:prstGeom>
                    <a:noFill/>
                    <a:ln w="9525">
                      <a:noFill/>
                      <a:miter lim="800000"/>
                      <a:headEnd/>
                      <a:tailEnd/>
                    </a:ln>
                  </pic:spPr>
                </pic:pic>
              </a:graphicData>
            </a:graphic>
          </wp:anchor>
        </w:drawing>
      </w:r>
    </w:p>
    <w:p w:rsidR="00962277" w:rsidRDefault="00C726BC" w:rsidP="00422ECC">
      <w:pPr>
        <w:spacing w:line="360" w:lineRule="auto"/>
        <w:ind w:firstLine="720"/>
        <w:rPr>
          <w:rFonts w:asciiTheme="minorHAnsi" w:hAnsiTheme="minorHAnsi"/>
          <w:sz w:val="24"/>
        </w:rPr>
      </w:pPr>
      <w:r>
        <w:rPr>
          <w:rFonts w:asciiTheme="minorHAnsi" w:hAnsiTheme="minorHAnsi"/>
          <w:noProof/>
          <w:sz w:val="24"/>
        </w:rPr>
        <w:pict>
          <v:shapetype id="_x0000_t202" coordsize="21600,21600" o:spt="202" path="m,l,21600r21600,l21600,xe">
            <v:stroke joinstyle="miter"/>
            <v:path gradientshapeok="t" o:connecttype="rect"/>
          </v:shapetype>
          <v:shape id="_x0000_s1026" type="#_x0000_t202" style="position:absolute;left:0;text-align:left;margin-left:269.65pt;margin-top:222.7pt;width:396.35pt;height:88.85pt;z-index:251660288;mso-wrap-edited:f;mso-position-horizontal:absolute;mso-position-vertical:absolute" wrapcoords="-40 -225 -40 21600 21681 21600 21681 -225 -40 -225" filled="f" strokeweight="2.25pt">
            <v:fill o:detectmouseclick="t"/>
            <v:stroke dashstyle="1 1" endcap="round"/>
            <v:textbox inset=",7.2pt,,7.2pt">
              <w:txbxContent>
                <w:p w:rsidR="00D25064" w:rsidRPr="00F057BE" w:rsidRDefault="00D25064">
                  <w:pPr>
                    <w:rPr>
                      <w:color w:val="000000" w:themeColor="text1"/>
                      <w:sz w:val="24"/>
                    </w:rPr>
                  </w:pPr>
                  <w:r w:rsidRPr="00F057BE">
                    <w:rPr>
                      <w:color w:val="000000" w:themeColor="text1"/>
                      <w:sz w:val="24"/>
                      <w:szCs w:val="15"/>
                    </w:rPr>
                    <w:t xml:space="preserve">Under the direction of the National Forest Service, CCC enrollees from Snider CCC Camp, built the octagonal community kitchen in the La Poel picnic area, during the winter of 1934-1935. Only the </w:t>
                  </w:r>
                  <w:r w:rsidR="00EF1D65" w:rsidRPr="00F057BE">
                    <w:rPr>
                      <w:color w:val="000000" w:themeColor="text1"/>
                      <w:sz w:val="24"/>
                      <w:szCs w:val="15"/>
                    </w:rPr>
                    <w:t>concrete</w:t>
                  </w:r>
                  <w:bookmarkStart w:id="0" w:name="_GoBack"/>
                  <w:bookmarkEnd w:id="0"/>
                  <w:r w:rsidRPr="00F057BE">
                    <w:rPr>
                      <w:color w:val="000000" w:themeColor="text1"/>
                      <w:sz w:val="24"/>
                      <w:szCs w:val="15"/>
                    </w:rPr>
                    <w:t xml:space="preserve"> foundation slab remains today. </w:t>
                  </w:r>
                  <w:r w:rsidRPr="00F057BE">
                    <w:rPr>
                      <w:i/>
                      <w:color w:val="000000" w:themeColor="text1"/>
                      <w:sz w:val="24"/>
                      <w:szCs w:val="15"/>
                    </w:rPr>
                    <w:t>(Courtesy of Olympic National Park)</w:t>
                  </w:r>
                </w:p>
              </w:txbxContent>
            </v:textbox>
            <w10:wrap type="tight"/>
          </v:shape>
        </w:pict>
      </w:r>
      <w:r w:rsidR="00422ECC">
        <w:rPr>
          <w:rFonts w:asciiTheme="minorHAnsi" w:hAnsiTheme="minorHAnsi"/>
          <w:sz w:val="24"/>
        </w:rPr>
        <w:t>“</w:t>
      </w:r>
      <w:r w:rsidR="00422ECC" w:rsidRPr="00422ECC">
        <w:rPr>
          <w:rFonts w:asciiTheme="minorHAnsi" w:hAnsiTheme="minorHAnsi"/>
          <w:sz w:val="24"/>
        </w:rPr>
        <w:t>Perhaps more than any other single New Deal program, the CCC restored a sense of working dignity to its enrollees while simultaneously bestowing care and craftsmanship on the areas in which it worked. Throughout America, CCC workers created campgrounds, roadways and other recreation and Park support facilities</w:t>
      </w:r>
      <w:r w:rsidR="00422ECC">
        <w:rPr>
          <w:rFonts w:asciiTheme="minorHAnsi" w:hAnsiTheme="minorHAnsi"/>
          <w:sz w:val="24"/>
        </w:rPr>
        <w:t>…</w:t>
      </w:r>
      <w:r w:rsidR="00422ECC" w:rsidRPr="00422ECC">
        <w:rPr>
          <w:rFonts w:asciiTheme="minorHAnsi" w:hAnsiTheme="minorHAnsi"/>
          <w:sz w:val="24"/>
        </w:rPr>
        <w:t>The Elwha and Altaire community kitchens and Soleduck Falls shelter are perhaps the most obvious public facilities, but other campgrounds, ranger stations and trails benefited as well.</w:t>
      </w:r>
      <w:r w:rsidR="00422ECC">
        <w:rPr>
          <w:rFonts w:asciiTheme="minorHAnsi" w:hAnsiTheme="minorHAnsi"/>
          <w:sz w:val="24"/>
        </w:rPr>
        <w:t xml:space="preserve">” </w:t>
      </w:r>
    </w:p>
    <w:p w:rsidR="00962277" w:rsidRDefault="00962277" w:rsidP="00422ECC">
      <w:pPr>
        <w:spacing w:line="360" w:lineRule="auto"/>
        <w:ind w:firstLine="720"/>
        <w:rPr>
          <w:rFonts w:asciiTheme="minorHAnsi" w:hAnsiTheme="minorHAnsi"/>
          <w:sz w:val="24"/>
        </w:rPr>
      </w:pPr>
    </w:p>
    <w:p w:rsidR="00F057BE" w:rsidRDefault="00F057BE" w:rsidP="00422ECC">
      <w:pPr>
        <w:spacing w:line="360" w:lineRule="auto"/>
        <w:ind w:firstLine="720"/>
        <w:rPr>
          <w:rFonts w:asciiTheme="minorHAnsi" w:hAnsiTheme="minorHAnsi"/>
          <w:sz w:val="24"/>
        </w:rPr>
      </w:pPr>
    </w:p>
    <w:p w:rsidR="00422ECC" w:rsidRDefault="00C726BC" w:rsidP="00F057BE">
      <w:pPr>
        <w:spacing w:after="0" w:line="240" w:lineRule="auto"/>
        <w:ind w:firstLine="720"/>
        <w:rPr>
          <w:rFonts w:asciiTheme="minorHAnsi" w:hAnsiTheme="minorHAnsi"/>
          <w:sz w:val="24"/>
        </w:rPr>
      </w:pPr>
      <w:hyperlink r:id="rId7" w:history="1">
        <w:r w:rsidR="00422ECC" w:rsidRPr="004342A7">
          <w:rPr>
            <w:rStyle w:val="Hyperlink"/>
            <w:rFonts w:asciiTheme="minorHAnsi" w:hAnsiTheme="minorHAnsi"/>
            <w:sz w:val="24"/>
          </w:rPr>
          <w:t>https://www.nps.gov/parkhistory/online_books/olym/hrs/chap5.htm</w:t>
        </w:r>
      </w:hyperlink>
    </w:p>
    <w:p w:rsidR="003256A0" w:rsidRPr="00422ECC" w:rsidRDefault="003256A0" w:rsidP="00422ECC">
      <w:pPr>
        <w:spacing w:line="360" w:lineRule="auto"/>
        <w:ind w:firstLine="720"/>
        <w:rPr>
          <w:rFonts w:asciiTheme="minorHAnsi" w:hAnsiTheme="minorHAnsi"/>
          <w:sz w:val="24"/>
        </w:rPr>
      </w:pPr>
    </w:p>
    <w:p w:rsidR="007115AD" w:rsidRDefault="007115AD" w:rsidP="00422ECC">
      <w:pPr>
        <w:spacing w:after="100" w:line="360" w:lineRule="auto"/>
        <w:rPr>
          <w:rFonts w:asciiTheme="minorHAnsi" w:hAnsiTheme="minorHAnsi"/>
          <w:b/>
          <w:sz w:val="24"/>
        </w:rPr>
      </w:pPr>
    </w:p>
    <w:p w:rsidR="007115AD" w:rsidRDefault="007115AD" w:rsidP="00422ECC">
      <w:pPr>
        <w:spacing w:after="100" w:line="360" w:lineRule="auto"/>
        <w:rPr>
          <w:rFonts w:asciiTheme="minorHAnsi" w:hAnsiTheme="minorHAnsi"/>
          <w:b/>
          <w:sz w:val="24"/>
        </w:rPr>
      </w:pPr>
    </w:p>
    <w:p w:rsidR="007115AD" w:rsidRDefault="007115AD" w:rsidP="00422ECC">
      <w:pPr>
        <w:spacing w:after="100" w:line="360" w:lineRule="auto"/>
        <w:rPr>
          <w:rFonts w:asciiTheme="minorHAnsi" w:hAnsiTheme="minorHAnsi"/>
          <w:b/>
          <w:sz w:val="24"/>
        </w:rPr>
      </w:pPr>
    </w:p>
    <w:p w:rsidR="00F057BE" w:rsidRDefault="003256A0" w:rsidP="00422ECC">
      <w:pPr>
        <w:spacing w:after="100" w:line="360" w:lineRule="auto"/>
        <w:rPr>
          <w:rFonts w:asciiTheme="minorHAnsi" w:hAnsiTheme="minorHAnsi"/>
          <w:b/>
          <w:sz w:val="24"/>
        </w:rPr>
      </w:pPr>
      <w:r w:rsidRPr="00F057BE">
        <w:rPr>
          <w:rFonts w:asciiTheme="minorHAnsi" w:hAnsiTheme="minorHAnsi"/>
          <w:b/>
          <w:sz w:val="24"/>
        </w:rPr>
        <w:lastRenderedPageBreak/>
        <w:t>#2 Recovery: Pump – Priming = Temporary programs to restart the flow of consumer demand.</w:t>
      </w:r>
    </w:p>
    <w:p w:rsidR="003256A0" w:rsidRPr="00F057BE" w:rsidRDefault="00F057BE" w:rsidP="00422ECC">
      <w:pPr>
        <w:spacing w:after="100" w:line="360" w:lineRule="auto"/>
        <w:rPr>
          <w:rFonts w:asciiTheme="minorHAnsi" w:hAnsiTheme="minorHAnsi"/>
          <w:b/>
          <w:sz w:val="24"/>
        </w:rPr>
      </w:pPr>
      <w:r>
        <w:rPr>
          <w:rFonts w:asciiTheme="minorHAnsi" w:hAnsiTheme="minorHAnsi"/>
          <w:b/>
          <w:sz w:val="24"/>
        </w:rPr>
        <w:t>How did the WPA and PWA contribute to environmental preservation?</w:t>
      </w:r>
    </w:p>
    <w:p w:rsidR="003256A0" w:rsidRPr="00422ECC" w:rsidRDefault="00F057BE" w:rsidP="00422ECC">
      <w:pPr>
        <w:spacing w:line="360" w:lineRule="auto"/>
        <w:rPr>
          <w:rFonts w:asciiTheme="minorHAnsi" w:hAnsiTheme="minorHAnsi"/>
          <w:sz w:val="24"/>
        </w:rPr>
      </w:pPr>
      <w:r>
        <w:rPr>
          <w:rFonts w:asciiTheme="minorHAnsi" w:hAnsiTheme="minorHAnsi"/>
          <w:noProof/>
          <w:sz w:val="24"/>
        </w:rPr>
        <w:drawing>
          <wp:anchor distT="0" distB="0" distL="114300" distR="114300" simplePos="0" relativeHeight="251658240" behindDoc="0" locked="0" layoutInCell="1" allowOverlap="1">
            <wp:simplePos x="0" y="0"/>
            <wp:positionH relativeFrom="column">
              <wp:posOffset>5949315</wp:posOffset>
            </wp:positionH>
            <wp:positionV relativeFrom="paragraph">
              <wp:posOffset>128270</wp:posOffset>
            </wp:positionV>
            <wp:extent cx="2740025" cy="3847465"/>
            <wp:effectExtent l="25400" t="0" r="3175" b="0"/>
            <wp:wrapSquare wrapText="bothSides"/>
            <wp:docPr id="1" name="Picture 1" descr="mage result for olympic visitor center construction 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olympic visitor center construction wpa"/>
                    <pic:cNvPicPr>
                      <a:picLocks noChangeAspect="1" noChangeArrowheads="1"/>
                    </pic:cNvPicPr>
                  </pic:nvPicPr>
                  <pic:blipFill>
                    <a:blip r:embed="rId8"/>
                    <a:srcRect/>
                    <a:stretch>
                      <a:fillRect/>
                    </a:stretch>
                  </pic:blipFill>
                  <pic:spPr bwMode="auto">
                    <a:xfrm>
                      <a:off x="0" y="0"/>
                      <a:ext cx="2740025" cy="3847465"/>
                    </a:xfrm>
                    <a:prstGeom prst="rect">
                      <a:avLst/>
                    </a:prstGeom>
                    <a:noFill/>
                    <a:ln w="9525">
                      <a:noFill/>
                      <a:miter lim="800000"/>
                      <a:headEnd/>
                      <a:tailEnd/>
                    </a:ln>
                  </pic:spPr>
                </pic:pic>
              </a:graphicData>
            </a:graphic>
          </wp:anchor>
        </w:drawing>
      </w:r>
    </w:p>
    <w:p w:rsidR="00F057BE" w:rsidRDefault="00F057BE" w:rsidP="00F057BE">
      <w:pPr>
        <w:spacing w:after="0" w:line="480" w:lineRule="auto"/>
        <w:ind w:firstLine="720"/>
      </w:pPr>
      <w:r>
        <w:rPr>
          <w:sz w:val="24"/>
        </w:rPr>
        <w:t>“</w:t>
      </w:r>
      <w:r w:rsidR="00422ECC" w:rsidRPr="00F057BE">
        <w:rPr>
          <w:sz w:val="24"/>
        </w:rPr>
        <w:t>As part of President Franklin Roosevelt's New Deal administration, two programs, in addition to the Civilian Conservation Corps, that greatly facilitated the solid administrative establishment of Olympic National Park, were the Public Works Administration (PWA) and the Works Progress Administration (WPA)</w:t>
      </w:r>
      <w:r w:rsidRPr="00F057BE">
        <w:rPr>
          <w:sz w:val="24"/>
        </w:rPr>
        <w:t>…</w:t>
      </w:r>
      <w:r w:rsidRPr="00F057BE">
        <w:rPr>
          <w:rFonts w:asciiTheme="minorHAnsi" w:hAnsiTheme="minorHAnsi"/>
          <w:sz w:val="24"/>
        </w:rPr>
        <w:t xml:space="preserve"> </w:t>
      </w:r>
      <w:r w:rsidRPr="00F057BE">
        <w:rPr>
          <w:sz w:val="24"/>
        </w:rPr>
        <w:t>Roads for the headquarters area on southeast Peabody Heights, Port Angeles, have been cleared and rough grading is in progress. . . . Excavation for the warehouse, the first building to be constructed, is beginning this week. Finish grading of the utility area will be complete by the end of the week. . . . The administration building and superintendent's residence sites are staked for construction and excavation is expected to be completed by October 31. . . . Sewer and water and power and telephone service lines are to be staked and excavated. All materials for sewer, power and telephone connections have been purchased. . .</w:t>
      </w:r>
      <w:r>
        <w:t xml:space="preserve"> .” </w:t>
      </w:r>
      <w:r w:rsidRPr="00F057BE">
        <w:t xml:space="preserve"> </w:t>
      </w:r>
      <w:hyperlink r:id="rId9" w:history="1">
        <w:r w:rsidRPr="004342A7">
          <w:rPr>
            <w:rStyle w:val="Hyperlink"/>
          </w:rPr>
          <w:t>https://www.nps.gov/parkhistory/online_books/olym/hrs/chap5.htm</w:t>
        </w:r>
      </w:hyperlink>
    </w:p>
    <w:p w:rsidR="007115AD" w:rsidRDefault="007115AD" w:rsidP="00422ECC">
      <w:pPr>
        <w:spacing w:line="360" w:lineRule="auto"/>
        <w:rPr>
          <w:rFonts w:asciiTheme="minorHAnsi" w:hAnsiTheme="minorHAnsi"/>
          <w:sz w:val="24"/>
        </w:rPr>
      </w:pPr>
    </w:p>
    <w:p w:rsidR="007115AD" w:rsidRDefault="007115AD" w:rsidP="00422ECC">
      <w:pPr>
        <w:spacing w:line="360" w:lineRule="auto"/>
        <w:rPr>
          <w:rFonts w:asciiTheme="minorHAnsi" w:hAnsiTheme="minorHAnsi"/>
          <w:sz w:val="24"/>
        </w:rPr>
      </w:pPr>
    </w:p>
    <w:p w:rsidR="007115AD" w:rsidRDefault="007115AD" w:rsidP="00422ECC">
      <w:pPr>
        <w:spacing w:line="360" w:lineRule="auto"/>
        <w:rPr>
          <w:rFonts w:asciiTheme="minorHAnsi" w:hAnsiTheme="minorHAnsi"/>
          <w:sz w:val="24"/>
        </w:rPr>
      </w:pPr>
    </w:p>
    <w:p w:rsidR="003256A0" w:rsidRPr="00422ECC" w:rsidRDefault="003256A0" w:rsidP="00422ECC">
      <w:pPr>
        <w:spacing w:line="360" w:lineRule="auto"/>
        <w:rPr>
          <w:rFonts w:asciiTheme="minorHAnsi" w:hAnsiTheme="minorHAnsi"/>
          <w:sz w:val="24"/>
        </w:rPr>
      </w:pPr>
    </w:p>
    <w:p w:rsidR="00962277" w:rsidRDefault="00962277" w:rsidP="00422ECC">
      <w:pPr>
        <w:spacing w:after="100" w:line="360" w:lineRule="auto"/>
        <w:rPr>
          <w:rFonts w:asciiTheme="minorHAnsi" w:hAnsiTheme="minorHAnsi"/>
          <w:sz w:val="24"/>
        </w:rPr>
      </w:pPr>
    </w:p>
    <w:p w:rsidR="003256A0" w:rsidRPr="00962277" w:rsidRDefault="003256A0" w:rsidP="007115AD">
      <w:pPr>
        <w:spacing w:after="100" w:line="240" w:lineRule="auto"/>
        <w:rPr>
          <w:rFonts w:asciiTheme="minorHAnsi" w:hAnsiTheme="minorHAnsi"/>
          <w:b/>
          <w:sz w:val="24"/>
        </w:rPr>
      </w:pPr>
      <w:r w:rsidRPr="00962277">
        <w:rPr>
          <w:rFonts w:asciiTheme="minorHAnsi" w:hAnsiTheme="minorHAnsi"/>
          <w:b/>
          <w:sz w:val="24"/>
        </w:rPr>
        <w:t>#3 Reform: Permanent programs to regulate against economic depression and disasters.</w:t>
      </w:r>
    </w:p>
    <w:p w:rsidR="00FE7B83" w:rsidRPr="00962277" w:rsidRDefault="00B84CDB" w:rsidP="007115AD">
      <w:pPr>
        <w:spacing w:after="100" w:line="240" w:lineRule="auto"/>
        <w:rPr>
          <w:rFonts w:asciiTheme="minorHAnsi" w:hAnsiTheme="minorHAnsi"/>
          <w:b/>
          <w:sz w:val="24"/>
        </w:rPr>
      </w:pPr>
      <w:r w:rsidRPr="00962277">
        <w:rPr>
          <w:rFonts w:asciiTheme="minorHAnsi" w:hAnsiTheme="minorHAnsi"/>
          <w:b/>
          <w:sz w:val="24"/>
        </w:rPr>
        <w:t>How did the creation of Olympic National Park regulate against economic disaster?</w:t>
      </w:r>
    </w:p>
    <w:p w:rsidR="00FE7B83" w:rsidRDefault="007115AD" w:rsidP="007115AD">
      <w:pPr>
        <w:spacing w:after="100" w:line="240" w:lineRule="auto"/>
        <w:rPr>
          <w:rFonts w:asciiTheme="minorHAnsi" w:hAnsiTheme="minorHAnsi"/>
          <w:sz w:val="24"/>
        </w:rPr>
      </w:pPr>
      <w:r>
        <w:rPr>
          <w:rFonts w:asciiTheme="minorHAnsi" w:hAnsiTheme="minorHAnsi"/>
          <w:noProof/>
          <w:sz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133350</wp:posOffset>
            </wp:positionV>
            <wp:extent cx="4469765" cy="5916295"/>
            <wp:effectExtent l="0" t="0" r="0" b="0"/>
            <wp:wrapTight wrapText="bothSides">
              <wp:wrapPolygon edited="0">
                <wp:start x="0" y="0"/>
                <wp:lineTo x="0" y="21561"/>
                <wp:lineTo x="21542" y="21561"/>
                <wp:lineTo x="21542" y="0"/>
                <wp:lineTo x="0" y="0"/>
              </wp:wrapPolygon>
            </wp:wrapTight>
            <wp:docPr id="7" name="Picture 7" descr=":::::::private:var:folders:8y:yd7whj192f561bjb1bbxj3m00000gn:T:com.skitch.skitch:DMD14C776E3-4195-41B6-A4A8-5D1B4578B084:Sept_29_1937_CARTOON_Builder_Inspects_His_Projects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vate:var:folders:8y:yd7whj192f561bjb1bbxj3m00000gn:T:com.skitch.skitch:DMD14C776E3-4195-41B6-A4A8-5D1B4578B084:Sept_29_1937_CARTOON_Builder_Inspects_His_Projects_JPG.png"/>
                    <pic:cNvPicPr>
                      <a:picLocks noChangeAspect="1" noChangeArrowheads="1"/>
                    </pic:cNvPicPr>
                  </pic:nvPicPr>
                  <pic:blipFill>
                    <a:blip r:embed="rId10"/>
                    <a:srcRect/>
                    <a:stretch>
                      <a:fillRect/>
                    </a:stretch>
                  </pic:blipFill>
                  <pic:spPr bwMode="auto">
                    <a:xfrm>
                      <a:off x="0" y="0"/>
                      <a:ext cx="4469765" cy="5916295"/>
                    </a:xfrm>
                    <a:prstGeom prst="rect">
                      <a:avLst/>
                    </a:prstGeom>
                    <a:noFill/>
                    <a:ln w="9525">
                      <a:noFill/>
                      <a:miter lim="800000"/>
                      <a:headEnd/>
                      <a:tailEnd/>
                    </a:ln>
                  </pic:spPr>
                </pic:pic>
              </a:graphicData>
            </a:graphic>
          </wp:anchor>
        </w:drawing>
      </w:r>
    </w:p>
    <w:p w:rsidR="003256A0" w:rsidRPr="00422ECC" w:rsidRDefault="00D25064" w:rsidP="007115AD">
      <w:pPr>
        <w:spacing w:line="240" w:lineRule="auto"/>
        <w:rPr>
          <w:rFonts w:asciiTheme="minorHAnsi" w:hAnsiTheme="minorHAnsi"/>
          <w:sz w:val="24"/>
        </w:rPr>
      </w:pPr>
      <w:r>
        <w:rPr>
          <w:rFonts w:asciiTheme="minorHAnsi" w:hAnsiTheme="minorHAnsi"/>
          <w:sz w:val="24"/>
        </w:rPr>
        <w:t xml:space="preserve">“Mr. Roosevelt pledged that the park </w:t>
      </w:r>
      <w:r w:rsidR="00962277">
        <w:rPr>
          <w:rFonts w:asciiTheme="minorHAnsi" w:hAnsiTheme="minorHAnsi"/>
          <w:sz w:val="24"/>
        </w:rPr>
        <w:t>would</w:t>
      </w:r>
      <w:r>
        <w:rPr>
          <w:rFonts w:asciiTheme="minorHAnsi" w:hAnsiTheme="minorHAnsi"/>
          <w:sz w:val="24"/>
        </w:rPr>
        <w:t xml:space="preserve"> be created not only for ‘us old people,’ but for the children of today and of the next hundred years.”  (Seattle Post Intelligence, </w:t>
      </w:r>
      <w:r w:rsidR="00354D91">
        <w:rPr>
          <w:rFonts w:asciiTheme="minorHAnsi" w:hAnsiTheme="minorHAnsi"/>
          <w:sz w:val="24"/>
        </w:rPr>
        <w:t>Oct 1, 1937</w:t>
      </w:r>
      <w:r>
        <w:rPr>
          <w:rFonts w:asciiTheme="minorHAnsi" w:hAnsiTheme="minorHAnsi"/>
          <w:sz w:val="24"/>
        </w:rPr>
        <w:t>)</w:t>
      </w:r>
    </w:p>
    <w:p w:rsidR="007734F5" w:rsidRDefault="00EF1D65" w:rsidP="00422ECC">
      <w:pPr>
        <w:spacing w:line="360" w:lineRule="auto"/>
        <w:rPr>
          <w:rFonts w:asciiTheme="minorHAnsi" w:hAnsiTheme="minorHAnsi"/>
          <w:sz w:val="24"/>
        </w:rPr>
      </w:pPr>
      <w:r>
        <w:rPr>
          <w:rFonts w:asciiTheme="minorHAnsi" w:hAnsiTheme="minorHAnsi"/>
          <w:noProof/>
          <w:sz w:val="24"/>
        </w:rPr>
        <w:pict>
          <v:shape id="_x0000_s1027" type="#_x0000_t202" style="position:absolute;margin-left:15.75pt;margin-top:18.5pt;width:138.75pt;height:223.55pt;z-index:251662336;mso-wrap-edited:f" wrapcoords="-94 -351 -94 21600 21694 21600 21694 -351 -94 -351" filled="f" strokeweight="3pt">
            <v:fill o:detectmouseclick="t"/>
            <v:stroke dashstyle="1 1" endcap="round"/>
            <v:textbox style="mso-next-textbox:#_x0000_s1027" inset=",7.2pt,,7.2pt">
              <w:txbxContent>
                <w:p w:rsidR="00962277" w:rsidRPr="00422ECC" w:rsidRDefault="00962277" w:rsidP="00962277">
                  <w:pPr>
                    <w:spacing w:after="100" w:line="360" w:lineRule="auto"/>
                    <w:rPr>
                      <w:rFonts w:asciiTheme="minorHAnsi" w:hAnsiTheme="minorHAnsi"/>
                      <w:sz w:val="24"/>
                    </w:rPr>
                  </w:pPr>
                  <w:r>
                    <w:rPr>
                      <w:rFonts w:asciiTheme="minorHAnsi" w:hAnsiTheme="minorHAnsi"/>
                      <w:sz w:val="24"/>
                    </w:rPr>
                    <w:t>“Where there is no vision, the people perish; but he that keepth the law, happy is he.” Proberbs 29:18 (quote accompanies Cartoon in the Seattle Post Intelligence, Sept 29, 1937)</w:t>
                  </w:r>
                </w:p>
                <w:p w:rsidR="00962277" w:rsidRPr="00962277" w:rsidRDefault="00962277" w:rsidP="00962277"/>
              </w:txbxContent>
            </v:textbox>
            <w10:wrap type="tight"/>
          </v:shape>
        </w:pict>
      </w:r>
    </w:p>
    <w:p w:rsidR="007734F5" w:rsidRDefault="007734F5" w:rsidP="00422ECC">
      <w:pPr>
        <w:spacing w:line="360" w:lineRule="auto"/>
        <w:rPr>
          <w:rFonts w:asciiTheme="minorHAnsi" w:hAnsiTheme="minorHAnsi"/>
          <w:sz w:val="24"/>
        </w:rPr>
      </w:pPr>
    </w:p>
    <w:p w:rsidR="007734F5" w:rsidRDefault="007734F5" w:rsidP="00422ECC">
      <w:pPr>
        <w:spacing w:line="360" w:lineRule="auto"/>
        <w:rPr>
          <w:rFonts w:asciiTheme="minorHAnsi" w:hAnsiTheme="minorHAnsi"/>
          <w:sz w:val="24"/>
        </w:rPr>
      </w:pPr>
    </w:p>
    <w:p w:rsidR="003256A0" w:rsidRPr="00422ECC" w:rsidRDefault="003256A0" w:rsidP="00422ECC">
      <w:pPr>
        <w:spacing w:line="360" w:lineRule="auto"/>
        <w:rPr>
          <w:rFonts w:asciiTheme="minorHAnsi" w:hAnsiTheme="minorHAnsi"/>
          <w:sz w:val="24"/>
        </w:rPr>
      </w:pPr>
    </w:p>
    <w:p w:rsidR="003256A0" w:rsidRPr="00422ECC" w:rsidRDefault="003256A0" w:rsidP="00422ECC">
      <w:pPr>
        <w:spacing w:line="360" w:lineRule="auto"/>
        <w:rPr>
          <w:rFonts w:asciiTheme="minorHAnsi" w:hAnsiTheme="minorHAnsi"/>
          <w:sz w:val="24"/>
        </w:rPr>
      </w:pPr>
    </w:p>
    <w:p w:rsidR="004A4A0A" w:rsidRPr="00422ECC" w:rsidRDefault="004A4A0A" w:rsidP="00422ECC">
      <w:pPr>
        <w:spacing w:line="360" w:lineRule="auto"/>
        <w:rPr>
          <w:rFonts w:asciiTheme="minorHAnsi" w:hAnsiTheme="minorHAnsi"/>
          <w:sz w:val="24"/>
        </w:rPr>
      </w:pPr>
    </w:p>
    <w:sectPr w:rsidR="004A4A0A" w:rsidRPr="00422ECC" w:rsidSect="00A40C8A">
      <w:headerReference w:type="default" r:id="rId11"/>
      <w:pgSz w:w="15840" w:h="12240" w:orient="landscape"/>
      <w:pgMar w:top="1080" w:right="1440" w:bottom="81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6BC" w:rsidRDefault="00C726BC">
      <w:pPr>
        <w:spacing w:after="0" w:line="240" w:lineRule="auto"/>
      </w:pPr>
      <w:r>
        <w:separator/>
      </w:r>
    </w:p>
  </w:endnote>
  <w:endnote w:type="continuationSeparator" w:id="0">
    <w:p w:rsidR="00C726BC" w:rsidRDefault="00C72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6BC" w:rsidRDefault="00C726BC">
      <w:pPr>
        <w:spacing w:after="0" w:line="240" w:lineRule="auto"/>
      </w:pPr>
      <w:r>
        <w:separator/>
      </w:r>
    </w:p>
  </w:footnote>
  <w:footnote w:type="continuationSeparator" w:id="0">
    <w:p w:rsidR="00C726BC" w:rsidRDefault="00C72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64" w:rsidRPr="004A0412" w:rsidRDefault="00D25064">
    <w:pPr>
      <w:pStyle w:val="Header"/>
      <w:rPr>
        <w:sz w:val="32"/>
      </w:rPr>
    </w:pPr>
    <w:r w:rsidRPr="004A0412">
      <w:rPr>
        <w:sz w:val="32"/>
      </w:rPr>
      <w:t>Gallery Walk, Station #</w:t>
    </w:r>
    <w:r w:rsidRPr="004A0412">
      <w:rPr>
        <w:rStyle w:val="PageNumber"/>
        <w:sz w:val="32"/>
      </w:rPr>
      <w:fldChar w:fldCharType="begin"/>
    </w:r>
    <w:r w:rsidRPr="004A0412">
      <w:rPr>
        <w:rStyle w:val="PageNumber"/>
        <w:sz w:val="32"/>
      </w:rPr>
      <w:instrText xml:space="preserve"> PAGE </w:instrText>
    </w:r>
    <w:r w:rsidRPr="004A0412">
      <w:rPr>
        <w:rStyle w:val="PageNumber"/>
        <w:sz w:val="32"/>
      </w:rPr>
      <w:fldChar w:fldCharType="separate"/>
    </w:r>
    <w:r w:rsidR="00EF1D65">
      <w:rPr>
        <w:rStyle w:val="PageNumber"/>
        <w:noProof/>
        <w:sz w:val="32"/>
      </w:rPr>
      <w:t>2</w:t>
    </w:r>
    <w:r w:rsidRPr="004A0412">
      <w:rPr>
        <w:rStyle w:val="PageNumber"/>
        <w:sz w:val="3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4A0412"/>
    <w:rsid w:val="001920AD"/>
    <w:rsid w:val="003256A0"/>
    <w:rsid w:val="00354D91"/>
    <w:rsid w:val="00422ECC"/>
    <w:rsid w:val="004A0412"/>
    <w:rsid w:val="004A4A0A"/>
    <w:rsid w:val="007115AD"/>
    <w:rsid w:val="007734F5"/>
    <w:rsid w:val="00962277"/>
    <w:rsid w:val="00A40C8A"/>
    <w:rsid w:val="00B84CDB"/>
    <w:rsid w:val="00C726BC"/>
    <w:rsid w:val="00D25064"/>
    <w:rsid w:val="00EF1D65"/>
    <w:rsid w:val="00F057BE"/>
    <w:rsid w:val="00FE7B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58FA75-4A0A-4783-97A7-4C64F8AE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0412"/>
    <w:pPr>
      <w:spacing w:line="276" w:lineRule="auto"/>
    </w:pPr>
    <w:rPr>
      <w:rFonts w:ascii="Garamond" w:eastAsia="Garamond" w:hAnsi="Garamond" w:cs="Garamond"/>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A0412"/>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A0412"/>
    <w:rPr>
      <w:rFonts w:ascii="Garamond" w:eastAsia="Garamond" w:hAnsi="Garamond" w:cs="Garamond"/>
      <w:color w:val="000000"/>
      <w:sz w:val="22"/>
      <w:szCs w:val="20"/>
    </w:rPr>
  </w:style>
  <w:style w:type="paragraph" w:styleId="Footer">
    <w:name w:val="footer"/>
    <w:basedOn w:val="Normal"/>
    <w:link w:val="FooterChar"/>
    <w:uiPriority w:val="99"/>
    <w:semiHidden/>
    <w:unhideWhenUsed/>
    <w:rsid w:val="004A0412"/>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4A0412"/>
    <w:rPr>
      <w:rFonts w:ascii="Garamond" w:eastAsia="Garamond" w:hAnsi="Garamond" w:cs="Garamond"/>
      <w:color w:val="000000"/>
      <w:sz w:val="22"/>
      <w:szCs w:val="20"/>
    </w:rPr>
  </w:style>
  <w:style w:type="character" w:styleId="PageNumber">
    <w:name w:val="page number"/>
    <w:basedOn w:val="DefaultParagraphFont"/>
    <w:uiPriority w:val="99"/>
    <w:semiHidden/>
    <w:unhideWhenUsed/>
    <w:rsid w:val="004A0412"/>
  </w:style>
  <w:style w:type="paragraph" w:styleId="NormalWeb">
    <w:name w:val="Normal (Web)"/>
    <w:basedOn w:val="Normal"/>
    <w:uiPriority w:val="99"/>
    <w:rsid w:val="004A0412"/>
    <w:pPr>
      <w:spacing w:beforeLines="1" w:afterLines="1" w:line="240" w:lineRule="auto"/>
    </w:pPr>
    <w:rPr>
      <w:rFonts w:ascii="Times" w:eastAsiaTheme="minorHAnsi" w:hAnsi="Times" w:cs="Times New Roman"/>
      <w:color w:val="auto"/>
      <w:sz w:val="20"/>
    </w:rPr>
  </w:style>
  <w:style w:type="character" w:styleId="Hyperlink">
    <w:name w:val="Hyperlink"/>
    <w:basedOn w:val="DefaultParagraphFont"/>
    <w:rsid w:val="00422E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326866">
      <w:bodyDiv w:val="1"/>
      <w:marLeft w:val="0"/>
      <w:marRight w:val="0"/>
      <w:marTop w:val="0"/>
      <w:marBottom w:val="0"/>
      <w:divBdr>
        <w:top w:val="none" w:sz="0" w:space="0" w:color="auto"/>
        <w:left w:val="none" w:sz="0" w:space="0" w:color="auto"/>
        <w:bottom w:val="none" w:sz="0" w:space="0" w:color="auto"/>
        <w:right w:val="none" w:sz="0" w:space="0" w:color="auto"/>
      </w:divBdr>
      <w:divsChild>
        <w:div w:id="30659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ps.gov/parkhistory/online_books/olym/hrs/chap5.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nps.gov/parkhistory/online_books/olym/hrs/chap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363</Words>
  <Characters>2073</Characters>
  <Application>Microsoft Office Word</Application>
  <DocSecurity>0</DocSecurity>
  <Lines>17</Lines>
  <Paragraphs>4</Paragraphs>
  <ScaleCrop>false</ScaleCrop>
  <Company>Divine Madness</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M</dc:creator>
  <cp:keywords/>
  <cp:lastModifiedBy>Komar, Benjamin G</cp:lastModifiedBy>
  <cp:revision>11</cp:revision>
  <dcterms:created xsi:type="dcterms:W3CDTF">2017-07-25T19:03:00Z</dcterms:created>
  <dcterms:modified xsi:type="dcterms:W3CDTF">2017-10-12T19:02:00Z</dcterms:modified>
</cp:coreProperties>
</file>